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06D72" w14:textId="77777777" w:rsidR="001543F6" w:rsidRPr="00C40145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Експертний висновок</w:t>
      </w:r>
    </w:p>
    <w:p w14:paraId="3513907F" w14:textId="26557252" w:rsidR="00986895" w:rsidRPr="00986895" w:rsidRDefault="001543F6" w:rsidP="000709B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Відповідальної комісії –</w:t>
      </w:r>
      <w:r w:rsidR="00986895" w:rsidRPr="0098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86895" w:rsidRPr="00F5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  з  </w:t>
      </w:r>
      <w:r w:rsidR="00986895" w:rsidRPr="00F552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 </w:t>
      </w:r>
      <w:r w:rsidR="009868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бюджету, фінансів та соціального-економічного розвитку</w:t>
      </w:r>
      <w:r w:rsidR="00986895" w:rsidRPr="00F5520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D3B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Лисецької</w:t>
      </w:r>
      <w:proofErr w:type="spellEnd"/>
      <w:r w:rsidR="004D3B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86895" w:rsidRPr="00F552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селищної </w:t>
      </w:r>
      <w:r w:rsidR="00986895" w:rsidRPr="00F5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(надалі комісії)</w:t>
      </w:r>
    </w:p>
    <w:p w14:paraId="4A9B3486" w14:textId="77777777" w:rsidR="001543F6" w:rsidRPr="00C179E6" w:rsidRDefault="001543F6" w:rsidP="00986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F3AD118" w14:textId="77777777" w:rsidR="000709B9" w:rsidRPr="000709B9" w:rsidRDefault="001543F6" w:rsidP="000709B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09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«</w:t>
      </w:r>
      <w:r w:rsidR="000709B9" w:rsidRPr="000709B9">
        <w:rPr>
          <w:rFonts w:ascii="Times New Roman" w:hAnsi="Times New Roman" w:cs="Times New Roman"/>
          <w:noProof/>
          <w:sz w:val="26"/>
          <w:szCs w:val="26"/>
        </w:rPr>
        <w:t>Про встановлення ставок та пільг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 </w:t>
      </w:r>
      <w:r w:rsidR="000709B9" w:rsidRPr="000709B9">
        <w:rPr>
          <w:rFonts w:ascii="Times New Roman" w:hAnsi="Times New Roman" w:cs="Times New Roman"/>
          <w:noProof/>
          <w:sz w:val="26"/>
          <w:szCs w:val="26"/>
        </w:rPr>
        <w:t>із сплати податку на нерухоме майно,</w:t>
      </w:r>
    </w:p>
    <w:p w14:paraId="4E746C72" w14:textId="0FE9C0C3" w:rsidR="001543F6" w:rsidRPr="000709B9" w:rsidRDefault="00DC1150" w:rsidP="000709B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відмінне від земельної ділянки</w:t>
      </w: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на території  </w:t>
      </w:r>
      <w:r w:rsidR="001F2CDE">
        <w:rPr>
          <w:rFonts w:ascii="Times New Roman" w:hAnsi="Times New Roman" w:cs="Times New Roman"/>
          <w:noProof/>
          <w:sz w:val="26"/>
          <w:szCs w:val="26"/>
          <w:lang w:val="uk-UA"/>
        </w:rPr>
        <w:t>Лисецької</w:t>
      </w: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селищної ради,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0709B9" w:rsidRPr="000709B9">
        <w:rPr>
          <w:rFonts w:ascii="Times New Roman" w:hAnsi="Times New Roman" w:cs="Times New Roman"/>
          <w:noProof/>
          <w:sz w:val="26"/>
          <w:szCs w:val="26"/>
        </w:rPr>
        <w:t xml:space="preserve">на 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202</w:t>
      </w:r>
      <w:r w:rsidR="001F2CDE">
        <w:rPr>
          <w:rFonts w:ascii="Times New Roman" w:hAnsi="Times New Roman" w:cs="Times New Roman"/>
          <w:noProof/>
          <w:sz w:val="26"/>
          <w:szCs w:val="26"/>
          <w:lang w:val="uk-UA"/>
        </w:rPr>
        <w:t>3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proofErr w:type="gramStart"/>
      <w:r w:rsidR="000709B9" w:rsidRPr="000709B9">
        <w:rPr>
          <w:rFonts w:ascii="Times New Roman" w:hAnsi="Times New Roman" w:cs="Times New Roman"/>
          <w:noProof/>
          <w:sz w:val="26"/>
          <w:szCs w:val="26"/>
        </w:rPr>
        <w:t>рік</w:t>
      </w:r>
      <w:r w:rsid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proofErr w:type="gramEnd"/>
    </w:p>
    <w:p w14:paraId="63712C60" w14:textId="77777777" w:rsidR="001543F6" w:rsidRPr="00C179E6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аналізу його регуляторного впливу</w:t>
      </w:r>
    </w:p>
    <w:p w14:paraId="07C04C59" w14:textId="77777777" w:rsidR="001543F6" w:rsidRPr="00C179E6" w:rsidRDefault="001543F6" w:rsidP="000709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</w:t>
      </w:r>
    </w:p>
    <w:p w14:paraId="773DB444" w14:textId="1DB9145B" w:rsidR="001543F6" w:rsidRPr="000709B9" w:rsidRDefault="000709B9" w:rsidP="000709B9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Відповідальна комісія </w:t>
      </w:r>
      <w:r w:rsidR="001543F6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– 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постійна комісія 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1F2CD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F2CD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, керуючись статтями 4,</w:t>
      </w:r>
      <w:r w:rsidR="00EF16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8,</w:t>
      </w:r>
      <w:r w:rsidR="00EF16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34 Закону України «Про засади державної регуляторної політики у сфері господарської діяльності», розглянула проект рішення </w:t>
      </w:r>
      <w:proofErr w:type="spellStart"/>
      <w:r w:rsidR="001F2CD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Про встановлення ставок та пільг  </w:t>
      </w: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із сплати </w:t>
      </w:r>
      <w:r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податку на нерухоме майно,</w:t>
      </w: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</w:t>
      </w:r>
      <w:r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ідмінне</w:t>
      </w: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   </w:t>
      </w:r>
      <w:r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від земельної ділянки</w:t>
      </w:r>
      <w:r w:rsidR="00DC1150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на території  </w:t>
      </w:r>
      <w:r w:rsidR="001F2CDE">
        <w:rPr>
          <w:rFonts w:ascii="Times New Roman" w:hAnsi="Times New Roman" w:cs="Times New Roman"/>
          <w:noProof/>
          <w:sz w:val="26"/>
          <w:szCs w:val="26"/>
          <w:lang w:val="uk-UA"/>
        </w:rPr>
        <w:t>Лисецької</w:t>
      </w:r>
      <w:r w:rsidR="00DC1150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селищної ради</w:t>
      </w:r>
      <w:r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, на  202</w:t>
      </w:r>
      <w:r w:rsidR="001F2CDE">
        <w:rPr>
          <w:rFonts w:ascii="Times New Roman" w:hAnsi="Times New Roman" w:cs="Times New Roman"/>
          <w:noProof/>
          <w:sz w:val="26"/>
          <w:szCs w:val="26"/>
          <w:lang w:val="uk-UA"/>
        </w:rPr>
        <w:t>3</w:t>
      </w:r>
      <w:r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рік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та встановила наступне.</w:t>
      </w:r>
    </w:p>
    <w:p w14:paraId="15398EEA" w14:textId="6E2C7264" w:rsidR="001543F6" w:rsidRPr="00C179E6" w:rsidRDefault="001543F6" w:rsidP="000709B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виконавчий комітет </w:t>
      </w:r>
      <w:proofErr w:type="spellStart"/>
      <w:r w:rsidR="001F2CD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 Проект рішення підготовлено на підставі Закону України «Про місцеве самоврядування в Україні», на виконан</w:t>
      </w:r>
      <w:r w:rsidR="001A6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Податкового кодексу України.</w:t>
      </w:r>
    </w:p>
    <w:p w14:paraId="5C2C645F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1.Відповідність проекту регуляторного 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принципам державної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регуляторної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політики, встановленим статтею 4 Закону України «Про засади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 регуляторної політики у сфері господарської діяльності»</w:t>
      </w:r>
    </w:p>
    <w:p w14:paraId="2E1387A6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Проаналізувавши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постійна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комісія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визначила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наступне.</w:t>
      </w:r>
    </w:p>
    <w:p w14:paraId="3E47BDCD" w14:textId="164F4F4B" w:rsidR="006D6A74" w:rsidRDefault="001543F6" w:rsidP="000709B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Ситуація яка вплинула на необхідність його розробки, свідчить про необхідність</w:t>
      </w:r>
      <w:r w:rsidR="009779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регулювання господарських відносин з метою вирішення  існуючої проблеми </w:t>
      </w:r>
      <w:r w:rsidRPr="00C179E6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необхідності чіткого визначення розмірів ставок 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податку</w:t>
      </w:r>
      <w:r w:rsidR="00300B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нерухоме майно, відмінне від земельної ділянки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які можуть  мати  місце на території </w:t>
      </w:r>
      <w:proofErr w:type="spellStart"/>
      <w:r w:rsidR="001F2CD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F2CD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ради. </w:t>
      </w:r>
    </w:p>
    <w:p w14:paraId="51611EA4" w14:textId="2A5A7914" w:rsidR="001543F6" w:rsidRPr="00C179E6" w:rsidRDefault="001543F6" w:rsidP="000709B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 рішення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ради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Про встановлення ставок та пільг  </w:t>
      </w:r>
      <w:r w:rsid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із сплати 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податку на нерухоме майно,</w:t>
      </w:r>
      <w:r w:rsid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ідмінне</w:t>
      </w:r>
      <w:r w:rsid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   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від земельної ділянки</w:t>
      </w:r>
      <w:r w:rsidR="004208A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на території </w:t>
      </w:r>
      <w:r w:rsidR="001F2CDE">
        <w:rPr>
          <w:rFonts w:ascii="Times New Roman" w:hAnsi="Times New Roman" w:cs="Times New Roman"/>
          <w:noProof/>
          <w:sz w:val="26"/>
          <w:szCs w:val="26"/>
          <w:lang w:val="uk-UA"/>
        </w:rPr>
        <w:t>Лисецької</w:t>
      </w:r>
      <w:r w:rsidR="004208A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селищної ради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, на  202</w:t>
      </w:r>
      <w:r w:rsidR="001F2CDE">
        <w:rPr>
          <w:rFonts w:ascii="Times New Roman" w:hAnsi="Times New Roman" w:cs="Times New Roman"/>
          <w:noProof/>
          <w:sz w:val="26"/>
          <w:szCs w:val="26"/>
          <w:lang w:val="uk-UA"/>
        </w:rPr>
        <w:t>3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рік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257CF5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57CF5" w:rsidRPr="006D6A7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ідповідає усім принципам державної регуляторної політики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рість та врахування громадської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думки.</w:t>
      </w:r>
    </w:p>
    <w:p w14:paraId="15E14974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2. Відповідність проекту регуляторного 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 з</w:t>
      </w:r>
    </w:p>
    <w:p w14:paraId="7ECBB2BD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 та проведення аналізу проблеми, яку пропонується розв'язати шляхом державного регулювання господарських відносин, а також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оцінки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важливості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цієї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проблеми;</w:t>
      </w:r>
    </w:p>
    <w:p w14:paraId="6795076D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ринкових механізмів і потребує державного регулювання;</w:t>
      </w:r>
    </w:p>
    <w:p w14:paraId="5B4AC9B9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діючих регуляторних актів, та розгляду можливості внесення змін до них;</w:t>
      </w:r>
    </w:p>
    <w:p w14:paraId="5F2991FA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очікуваних результатів прийняття запропонованого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суб'єктів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господарювання, громадян та держави внаслідок дії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58D20081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 цілі державного регулювання;</w:t>
      </w:r>
    </w:p>
    <w:p w14:paraId="0B6A4928" w14:textId="77777777" w:rsidR="001543F6" w:rsidRPr="00C179E6" w:rsidRDefault="00257CF5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 та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оцінка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усіх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прийнятних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альтернативних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способів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встановлених цілей, у тому числі ті з них, які не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передбачають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безпосереднього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державного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 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господарських відносин;</w:t>
      </w:r>
    </w:p>
    <w:p w14:paraId="0785336A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аргументування переваг обраного способу досягнення встановлених цілей;</w:t>
      </w:r>
    </w:p>
    <w:p w14:paraId="1C121F9C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опису механізмів і заходів, які забезпечать розв'язання визначеної проблеми шляхом прийняття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апропонованого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7E535CB0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бґрунтування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можливості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встановлених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цілей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разі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прийняття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запропонованого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5F17D4E8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досягнення 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14:paraId="304FA39F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вигоди, які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виникатимуть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внаслідок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дії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запропонованого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виправдовують відповідні витрати у випадку, якщо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витрати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та/або вигоди не можуть бути кількісно визначені;</w:t>
      </w:r>
    </w:p>
    <w:p w14:paraId="7A44CE58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залежно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ресурсів, якими розпоряджаються органи державної влади, органи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місцевого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самоврядування, фізичні та юридичні особи, які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повинні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впроваджувати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або виконувати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вимоги;</w:t>
      </w:r>
    </w:p>
    <w:p w14:paraId="3CAD0007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оцінки р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изику впливу зовнішніх чинників на дію запропонованого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регуляторного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53E6E256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5B85D641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387973B9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 заходів, за допомогою </w:t>
      </w:r>
      <w:r w:rsidR="000709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яких буде здійснюватися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відстеження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результативності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разі його прийняття.</w:t>
      </w:r>
    </w:p>
    <w:p w14:paraId="26596091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були враховані вимо</w:t>
      </w:r>
      <w:r w:rsidR="001A6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 Податкового кодексу України.</w:t>
      </w:r>
    </w:p>
    <w:p w14:paraId="4DDA64C8" w14:textId="2B92987A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Цей регуляторний акт певним чином впливає на інтереси суб’єктів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господарювання, громадян, органів місцевого самоврядування та виконавчої влади, а також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підприємств, установ і організацій, що знаходяться на</w:t>
      </w:r>
      <w:r w:rsidR="00306C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території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1F2C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98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257CF5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</w:t>
      </w:r>
    </w:p>
    <w:p w14:paraId="4E5918C8" w14:textId="77777777" w:rsidR="001543F6" w:rsidRPr="00C179E6" w:rsidRDefault="001543F6" w:rsidP="000709B9">
      <w:pPr>
        <w:shd w:val="clear" w:color="auto" w:fill="FFFFFF"/>
        <w:spacing w:after="0" w:line="240" w:lineRule="auto"/>
        <w:ind w:left="-567"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 результати прийняття запропонованого проекту можуть бути визначені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через такі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вигоди та витрати:</w:t>
      </w:r>
    </w:p>
    <w:p w14:paraId="4B189F7A" w14:textId="77777777" w:rsidR="006D6A74" w:rsidRPr="00986895" w:rsidRDefault="001543F6" w:rsidP="000709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0AAAD79A" w14:textId="77777777" w:rsidR="001543F6" w:rsidRPr="00C179E6" w:rsidRDefault="001543F6" w:rsidP="00257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Аналіз 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вигод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1543F6" w:rsidRPr="00C179E6" w14:paraId="066208B4" w14:textId="77777777" w:rsidTr="006A4B03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DDEF9" w14:textId="77777777" w:rsidR="001543F6" w:rsidRPr="00C179E6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FE0DB" w14:textId="77777777" w:rsidR="001543F6" w:rsidRPr="00C179E6" w:rsidRDefault="001543F6" w:rsidP="006A4B03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1543F6" w:rsidRPr="00C179E6" w14:paraId="386CE9E6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49E61" w14:textId="77777777" w:rsidR="001543F6" w:rsidRPr="00C179E6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держави</w:t>
            </w:r>
          </w:p>
        </w:tc>
      </w:tr>
      <w:tr w:rsidR="001543F6" w:rsidRPr="00C179E6" w14:paraId="2BB86BB2" w14:textId="77777777" w:rsidTr="00EF1634">
        <w:trPr>
          <w:trHeight w:val="756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5DD5E" w14:textId="77777777" w:rsidR="001543F6" w:rsidRPr="00C179E6" w:rsidRDefault="001543F6" w:rsidP="006D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Встановлення обсягу надходжень до</w:t>
            </w:r>
            <w:r w:rsidR="006D6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селищного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A3D90" w14:textId="77777777" w:rsidR="001543F6" w:rsidRPr="00C179E6" w:rsidRDefault="001543F6" w:rsidP="00D35656">
            <w:pPr>
              <w:spacing w:before="59" w:after="59" w:line="240" w:lineRule="auto"/>
              <w:ind w:left="163" w:hanging="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Додаткові витрати</w:t>
            </w:r>
            <w:r w:rsidR="00257CF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="00D356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селищного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 бюджету відсутні.</w:t>
            </w:r>
          </w:p>
        </w:tc>
      </w:tr>
      <w:tr w:rsidR="001543F6" w:rsidRPr="00C179E6" w14:paraId="22EC1CEA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84FD9" w14:textId="77777777" w:rsidR="001543F6" w:rsidRPr="00C179E6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1543F6" w:rsidRPr="00C179E6" w14:paraId="0212F261" w14:textId="77777777" w:rsidTr="006A4B03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DF1C2" w14:textId="4120A2F1" w:rsidR="001543F6" w:rsidRPr="00C179E6" w:rsidRDefault="001543F6" w:rsidP="00D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Розвиток інфраструктури </w:t>
            </w:r>
            <w:r w:rsidR="00D32F9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сіл та 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селища </w:t>
            </w:r>
            <w:r w:rsidR="00C401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07485" w14:textId="77777777" w:rsidR="001543F6" w:rsidRPr="00C179E6" w:rsidRDefault="001543F6" w:rsidP="00C179E6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1543F6" w:rsidRPr="00C179E6" w14:paraId="29B5D536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92178" w14:textId="77777777" w:rsidR="001543F6" w:rsidRPr="00C179E6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громадян</w:t>
            </w:r>
          </w:p>
        </w:tc>
      </w:tr>
      <w:tr w:rsidR="001543F6" w:rsidRPr="00C179E6" w14:paraId="1116A3B5" w14:textId="77777777" w:rsidTr="00645936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13037" w14:textId="62E7911E" w:rsidR="001543F6" w:rsidRPr="00C179E6" w:rsidRDefault="001543F6" w:rsidP="0064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Вирішення частини соціальних проблем 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населених пунктів громади</w:t>
            </w:r>
            <w:r w:rsidR="0098689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8689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="0098689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рахунок </w:t>
            </w:r>
            <w:r w:rsid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дохідної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частини</w:t>
            </w:r>
            <w:r w:rsidR="001C25F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401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37F46" w14:textId="77777777" w:rsidR="001543F6" w:rsidRPr="00C179E6" w:rsidRDefault="00C179E6" w:rsidP="006D6A74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543F6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Додаткові витрати з </w:t>
            </w:r>
            <w:r w:rsidR="006D6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селищного </w:t>
            </w:r>
            <w:r w:rsidR="001543F6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бюджету.</w:t>
            </w:r>
          </w:p>
        </w:tc>
      </w:tr>
    </w:tbl>
    <w:p w14:paraId="31F03C6A" w14:textId="77777777" w:rsidR="001F2CDE" w:rsidRDefault="001F2CDE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C931339" w14:textId="77777777" w:rsidR="001543F6" w:rsidRPr="00C179E6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Аналіз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розроблено на виконання вимог статті 8 Закону України «Про засади державної регуляторної політики у сфері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господарської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діяльності».</w:t>
      </w:r>
    </w:p>
    <w:p w14:paraId="21553B97" w14:textId="77777777" w:rsidR="001543F6" w:rsidRPr="00C179E6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5DDBC713" w14:textId="77777777" w:rsidR="001543F6" w:rsidRPr="00C179E6" w:rsidRDefault="001543F6" w:rsidP="00C1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lastRenderedPageBreak/>
        <w:t>3. Узагальнений висновок</w:t>
      </w:r>
    </w:p>
    <w:p w14:paraId="53711F15" w14:textId="79AC28ED" w:rsidR="001543F6" w:rsidRPr="00C179E6" w:rsidRDefault="001543F6" w:rsidP="00C17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r w:rsidR="00D32F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ради вважа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 </w:t>
      </w:r>
      <w:proofErr w:type="spellStart"/>
      <w:r w:rsidR="001F2C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1F2C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D32F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елищної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ради 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Про встановлення ставок та пільг  </w:t>
      </w:r>
      <w:r w:rsid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із сплати 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податку на нерухоме майно,</w:t>
      </w:r>
      <w:r w:rsid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ідмінне</w:t>
      </w:r>
      <w:r w:rsid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   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від земельної ділянки</w:t>
      </w:r>
      <w:r w:rsidR="004208A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на території </w:t>
      </w:r>
      <w:r w:rsidR="001F2CDE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Лисецької </w:t>
      </w:r>
      <w:r w:rsidR="004208A6">
        <w:rPr>
          <w:rFonts w:ascii="Times New Roman" w:hAnsi="Times New Roman" w:cs="Times New Roman"/>
          <w:noProof/>
          <w:sz w:val="26"/>
          <w:szCs w:val="26"/>
          <w:lang w:val="uk-UA"/>
        </w:rPr>
        <w:t>селищної ради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>, на  202</w:t>
      </w:r>
      <w:r w:rsidR="00000C1E">
        <w:rPr>
          <w:rFonts w:ascii="Times New Roman" w:hAnsi="Times New Roman" w:cs="Times New Roman"/>
          <w:noProof/>
          <w:sz w:val="26"/>
          <w:szCs w:val="26"/>
          <w:lang w:val="uk-UA"/>
        </w:rPr>
        <w:t>2</w:t>
      </w:r>
      <w:r w:rsidR="000709B9" w:rsidRPr="000709B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рік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 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14:paraId="35C25A25" w14:textId="77777777" w:rsidR="001543F6" w:rsidRPr="00C179E6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7C091E65" w14:textId="77777777" w:rsidR="001543F6" w:rsidRPr="00C179E6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04E00A8C" w14:textId="77777777" w:rsidR="00986895" w:rsidRDefault="00986895" w:rsidP="0098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Голова відповідальної комісії -</w:t>
      </w:r>
    </w:p>
    <w:p w14:paraId="22014818" w14:textId="77777777" w:rsidR="00986895" w:rsidRDefault="00986895" w:rsidP="0098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постійної комісії з питань </w:t>
      </w:r>
    </w:p>
    <w:p w14:paraId="26379324" w14:textId="0E7A4B87" w:rsidR="00986895" w:rsidRDefault="00986895" w:rsidP="0098689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бюджету, фінансів</w:t>
      </w:r>
    </w:p>
    <w:p w14:paraId="3D149E6D" w14:textId="77777777" w:rsidR="00986895" w:rsidRDefault="00986895" w:rsidP="00986895">
      <w:pPr>
        <w:spacing w:after="0" w:line="240" w:lineRule="auto"/>
        <w:rPr>
          <w:rFonts w:ascii="Times New Roman" w:eastAsia="Calibri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 соціально-економічного розвитку</w:t>
      </w:r>
    </w:p>
    <w:p w14:paraId="5B0E86F9" w14:textId="3C474945" w:rsidR="00986895" w:rsidRPr="00C179E6" w:rsidRDefault="00AB78C9" w:rsidP="0098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Лисецької</w:t>
      </w:r>
      <w:proofErr w:type="spellEnd"/>
      <w:r w:rsidR="00645936">
        <w:rPr>
          <w:rFonts w:ascii="Times New Roman" w:hAnsi="Times New Roman"/>
          <w:sz w:val="26"/>
          <w:szCs w:val="26"/>
          <w:lang w:val="uk-UA"/>
        </w:rPr>
        <w:t xml:space="preserve"> селищної ради            </w:t>
      </w:r>
      <w:r w:rsidR="00986895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986895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___________            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>Христина РОМАНИШАК</w:t>
      </w:r>
      <w:bookmarkStart w:id="0" w:name="_GoBack"/>
      <w:bookmarkEnd w:id="0"/>
      <w:r w:rsidR="00986895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</w:p>
    <w:p w14:paraId="575CF451" w14:textId="77777777" w:rsidR="001543F6" w:rsidRPr="00C179E6" w:rsidRDefault="001543F6" w:rsidP="00154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2415BCEA" w14:textId="77777777" w:rsidR="00893489" w:rsidRPr="00C179E6" w:rsidRDefault="0089348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93489" w:rsidRPr="00C179E6" w:rsidSect="00C40145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6"/>
    <w:rsid w:val="00000C1E"/>
    <w:rsid w:val="000709B9"/>
    <w:rsid w:val="00132BBD"/>
    <w:rsid w:val="001543F6"/>
    <w:rsid w:val="001A6E3F"/>
    <w:rsid w:val="001B1B64"/>
    <w:rsid w:val="001C25F9"/>
    <w:rsid w:val="001F2CDE"/>
    <w:rsid w:val="00256637"/>
    <w:rsid w:val="00257CF5"/>
    <w:rsid w:val="002F7136"/>
    <w:rsid w:val="00300BD0"/>
    <w:rsid w:val="00306C85"/>
    <w:rsid w:val="003148E7"/>
    <w:rsid w:val="00366ED3"/>
    <w:rsid w:val="0037660C"/>
    <w:rsid w:val="004208A6"/>
    <w:rsid w:val="004327F8"/>
    <w:rsid w:val="004517A0"/>
    <w:rsid w:val="00476065"/>
    <w:rsid w:val="0049734A"/>
    <w:rsid w:val="004D3B02"/>
    <w:rsid w:val="0051046B"/>
    <w:rsid w:val="005B6EC5"/>
    <w:rsid w:val="005B7D36"/>
    <w:rsid w:val="005D0CD2"/>
    <w:rsid w:val="00635956"/>
    <w:rsid w:val="00645936"/>
    <w:rsid w:val="006D6A74"/>
    <w:rsid w:val="00765E21"/>
    <w:rsid w:val="0076767A"/>
    <w:rsid w:val="007950FA"/>
    <w:rsid w:val="008256FD"/>
    <w:rsid w:val="00843CEC"/>
    <w:rsid w:val="00893489"/>
    <w:rsid w:val="00977989"/>
    <w:rsid w:val="00986895"/>
    <w:rsid w:val="009C1130"/>
    <w:rsid w:val="00A37848"/>
    <w:rsid w:val="00A54568"/>
    <w:rsid w:val="00AB78C9"/>
    <w:rsid w:val="00BF1DB7"/>
    <w:rsid w:val="00C06E57"/>
    <w:rsid w:val="00C179E6"/>
    <w:rsid w:val="00C40145"/>
    <w:rsid w:val="00C87173"/>
    <w:rsid w:val="00CB0133"/>
    <w:rsid w:val="00D32F95"/>
    <w:rsid w:val="00D35656"/>
    <w:rsid w:val="00D46865"/>
    <w:rsid w:val="00DC1150"/>
    <w:rsid w:val="00DE6326"/>
    <w:rsid w:val="00EA1F6C"/>
    <w:rsid w:val="00E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00EB"/>
  <w15:docId w15:val="{ECCC1FE4-5372-4F3E-B267-6D3A6AF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EAC5-BA05-4185-9AAE-715E6E65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4096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User1</cp:lastModifiedBy>
  <cp:revision>5</cp:revision>
  <cp:lastPrinted>2021-04-16T12:51:00Z</cp:lastPrinted>
  <dcterms:created xsi:type="dcterms:W3CDTF">2022-07-04T13:36:00Z</dcterms:created>
  <dcterms:modified xsi:type="dcterms:W3CDTF">2022-07-04T13:52:00Z</dcterms:modified>
</cp:coreProperties>
</file>